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SIE-</w:t>
      </w:r>
      <w:r>
        <w:rPr>
          <w:rFonts w:ascii="仿宋" w:hAnsi="仿宋" w:eastAsia="仿宋" w:cs="Times New Roman"/>
          <w:sz w:val="32"/>
          <w:szCs w:val="32"/>
        </w:rPr>
        <w:t>PT</w:t>
      </w:r>
      <w:r>
        <w:rPr>
          <w:rFonts w:hint="eastAsia" w:ascii="仿宋" w:hAnsi="仿宋" w:eastAsia="仿宋" w:cs="Times New Roman"/>
          <w:sz w:val="32"/>
          <w:szCs w:val="32"/>
        </w:rPr>
        <w:t>-</w:t>
      </w:r>
      <w:r>
        <w:rPr>
          <w:rFonts w:ascii="仿宋" w:hAnsi="仿宋" w:eastAsia="仿宋" w:cs="Times New Roman"/>
          <w:sz w:val="32"/>
          <w:szCs w:val="32"/>
        </w:rPr>
        <w:t>0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0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 </w:t>
      </w: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 </w:t>
      </w:r>
    </w:p>
    <w:p>
      <w:pPr>
        <w:jc w:val="center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中北大学测控技术与仪器专业</w:t>
      </w:r>
    </w:p>
    <w:p>
      <w:pPr>
        <w:spacing w:before="156" w:beforeLines="50"/>
        <w:jc w:val="center"/>
        <w:rPr>
          <w:rFonts w:ascii="黑体" w:hAnsi="黑体" w:eastAsia="黑体" w:cs="Times New Roman"/>
          <w:sz w:val="48"/>
          <w:szCs w:val="48"/>
        </w:rPr>
      </w:pPr>
      <w:r>
        <w:rPr>
          <w:rFonts w:hint="eastAsia" w:ascii="黑体" w:hAnsi="黑体" w:eastAsia="黑体" w:cs="Times New Roman"/>
          <w:sz w:val="48"/>
          <w:szCs w:val="48"/>
        </w:rPr>
        <w:t>实践教学</w:t>
      </w:r>
      <w:r>
        <w:rPr>
          <w:rFonts w:hint="eastAsia" w:ascii="黑体" w:hAnsi="黑体" w:eastAsia="黑体" w:cs="Times New Roman"/>
          <w:sz w:val="48"/>
          <w:szCs w:val="48"/>
          <w:lang w:val="en-US" w:eastAsia="zh-CN"/>
        </w:rPr>
        <w:t>体系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二〇一七年一月</w:t>
      </w:r>
    </w:p>
    <w:p>
      <w:pPr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中北大学仪器与电子学院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 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br w:type="page"/>
      </w: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  <w:bookmarkStart w:id="3" w:name="_GoBack"/>
      <w:bookmarkEnd w:id="3"/>
      <w:r>
        <w:rPr>
          <w:rFonts w:hint="eastAsia" w:ascii="黑体" w:hAnsi="黑体" w:eastAsia="黑体" w:cs="Times New Roman"/>
          <w:sz w:val="32"/>
          <w:szCs w:val="32"/>
        </w:rPr>
        <w:t>1 实践教学</w:t>
      </w:r>
      <w:r>
        <w:rPr>
          <w:rFonts w:ascii="黑体" w:hAnsi="黑体" w:eastAsia="黑体" w:cs="Times New Roman"/>
          <w:sz w:val="32"/>
          <w:szCs w:val="32"/>
        </w:rPr>
        <w:t>体系</w:t>
      </w:r>
      <w:r>
        <w:rPr>
          <w:rFonts w:hint="eastAsia" w:ascii="黑体" w:hAnsi="黑体" w:eastAsia="黑体" w:cs="Times New Roman"/>
          <w:sz w:val="32"/>
          <w:szCs w:val="32"/>
        </w:rPr>
        <w:t>图示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中北大学测控技术</w:t>
      </w:r>
      <w:r>
        <w:rPr>
          <w:rFonts w:ascii="宋体" w:hAnsi="宋体" w:eastAsia="宋体" w:cs="Times New Roman"/>
          <w:sz w:val="24"/>
        </w:rPr>
        <w:t>与仪器专业实践教学体系</w:t>
      </w:r>
      <w:r>
        <w:rPr>
          <w:rFonts w:hint="eastAsia" w:ascii="宋体" w:hAnsi="宋体" w:eastAsia="宋体" w:cs="Times New Roman"/>
          <w:sz w:val="24"/>
        </w:rPr>
        <w:t>由</w:t>
      </w:r>
      <w:r>
        <w:rPr>
          <w:rFonts w:ascii="宋体" w:hAnsi="宋体" w:eastAsia="宋体" w:cs="Times New Roman"/>
          <w:sz w:val="24"/>
        </w:rPr>
        <w:t>五个层次</w:t>
      </w:r>
      <w:r>
        <w:rPr>
          <w:rFonts w:hint="eastAsia" w:ascii="宋体" w:hAnsi="宋体" w:eastAsia="宋体" w:cs="Times New Roman"/>
          <w:sz w:val="24"/>
        </w:rPr>
        <w:t>构成</w:t>
      </w:r>
      <w:r>
        <w:rPr>
          <w:rFonts w:ascii="宋体" w:hAnsi="宋体" w:eastAsia="宋体" w:cs="Times New Roman"/>
          <w:sz w:val="24"/>
        </w:rPr>
        <w:t>，</w:t>
      </w:r>
      <w:r>
        <w:rPr>
          <w:rFonts w:hint="eastAsia" w:ascii="宋体" w:hAnsi="宋体" w:eastAsia="宋体" w:cs="Times New Roman"/>
          <w:sz w:val="24"/>
        </w:rPr>
        <w:t>为</w:t>
      </w:r>
      <w:r>
        <w:rPr>
          <w:rFonts w:ascii="宋体" w:hAnsi="宋体" w:eastAsia="宋体" w:cs="Times New Roman"/>
          <w:sz w:val="24"/>
        </w:rPr>
        <w:t>相关理论</w:t>
      </w:r>
      <w:r>
        <w:rPr>
          <w:rFonts w:hint="eastAsia" w:ascii="宋体" w:hAnsi="宋体" w:eastAsia="宋体" w:cs="Times New Roman"/>
          <w:sz w:val="24"/>
        </w:rPr>
        <w:t>教学</w:t>
      </w:r>
      <w:r>
        <w:rPr>
          <w:rFonts w:ascii="宋体" w:hAnsi="宋体" w:eastAsia="宋体" w:cs="Times New Roman"/>
          <w:sz w:val="24"/>
        </w:rPr>
        <w:t>内容的理解</w:t>
      </w:r>
      <w:r>
        <w:rPr>
          <w:rFonts w:hint="eastAsia" w:ascii="宋体" w:hAnsi="宋体" w:eastAsia="宋体" w:cs="Times New Roman"/>
          <w:sz w:val="24"/>
        </w:rPr>
        <w:t>与</w:t>
      </w:r>
      <w:r>
        <w:rPr>
          <w:rFonts w:ascii="宋体" w:hAnsi="宋体" w:eastAsia="宋体" w:cs="Times New Roman"/>
          <w:sz w:val="24"/>
        </w:rPr>
        <w:t>掌握、</w:t>
      </w:r>
      <w:r>
        <w:rPr>
          <w:rFonts w:hint="eastAsia" w:ascii="宋体" w:hAnsi="宋体" w:eastAsia="宋体" w:cs="Times New Roman"/>
          <w:sz w:val="24"/>
        </w:rPr>
        <w:t>从</w:t>
      </w:r>
      <w:r>
        <w:rPr>
          <w:rFonts w:ascii="宋体" w:hAnsi="宋体" w:eastAsia="宋体" w:cs="Times New Roman"/>
          <w:sz w:val="24"/>
        </w:rPr>
        <w:t>基本</w:t>
      </w:r>
      <w:r>
        <w:rPr>
          <w:rFonts w:hint="eastAsia" w:ascii="宋体" w:hAnsi="宋体" w:eastAsia="宋体" w:cs="Times New Roman"/>
          <w:sz w:val="24"/>
        </w:rPr>
        <w:t>技能</w:t>
      </w:r>
      <w:r>
        <w:rPr>
          <w:rFonts w:ascii="宋体" w:hAnsi="宋体" w:eastAsia="宋体" w:cs="Times New Roman"/>
          <w:sz w:val="24"/>
        </w:rPr>
        <w:t>到综合</w:t>
      </w:r>
      <w:r>
        <w:rPr>
          <w:rFonts w:hint="eastAsia" w:ascii="宋体" w:hAnsi="宋体" w:eastAsia="宋体" w:cs="Times New Roman"/>
          <w:sz w:val="24"/>
        </w:rPr>
        <w:t>能力</w:t>
      </w:r>
      <w:r>
        <w:rPr>
          <w:rFonts w:ascii="宋体" w:hAnsi="宋体" w:eastAsia="宋体" w:cs="Times New Roman"/>
          <w:sz w:val="24"/>
        </w:rPr>
        <w:t>的培养提供</w:t>
      </w:r>
      <w:r>
        <w:rPr>
          <w:rFonts w:hint="eastAsia" w:ascii="宋体" w:hAnsi="宋体" w:eastAsia="宋体" w:cs="Times New Roman"/>
          <w:sz w:val="24"/>
        </w:rPr>
        <w:t>全面支撑</w:t>
      </w:r>
      <w:r>
        <w:rPr>
          <w:rFonts w:ascii="宋体" w:hAnsi="宋体" w:eastAsia="宋体" w:cs="Times New Roman"/>
          <w:sz w:val="24"/>
        </w:rPr>
        <w:t>。</w:t>
      </w:r>
      <w:r>
        <w:rPr>
          <w:rFonts w:hint="eastAsia" w:ascii="宋体" w:hAnsi="宋体" w:eastAsia="宋体" w:cs="Times New Roman"/>
          <w:sz w:val="24"/>
        </w:rPr>
        <w:t>该体系图示</w:t>
      </w:r>
      <w:r>
        <w:rPr>
          <w:rFonts w:ascii="宋体" w:hAnsi="宋体" w:eastAsia="宋体" w:cs="Times New Roman"/>
          <w:sz w:val="24"/>
        </w:rPr>
        <w:t>如下图</w:t>
      </w:r>
      <w:r>
        <w:rPr>
          <w:rFonts w:hint="eastAsia" w:ascii="宋体" w:hAnsi="宋体" w:eastAsia="宋体" w:cs="Times New Roman"/>
          <w:sz w:val="24"/>
        </w:rPr>
        <w:t>1</w:t>
      </w:r>
      <w:r>
        <w:rPr>
          <w:rFonts w:ascii="宋体" w:hAnsi="宋体" w:eastAsia="宋体" w:cs="Times New Roman"/>
          <w:sz w:val="24"/>
        </w:rPr>
        <w:t>.</w:t>
      </w:r>
    </w:p>
    <w:p>
      <w:r>
        <w:drawing>
          <wp:inline distT="0" distB="0" distL="0" distR="0">
            <wp:extent cx="5274310" cy="60077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0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jc w:val="center"/>
        <w:rPr>
          <w:rFonts w:hint="eastAsia"/>
        </w:rPr>
      </w:pPr>
      <w:r>
        <w:rPr>
          <w:rFonts w:hint="eastAsia"/>
        </w:rPr>
        <w:t>图1 测控技术</w:t>
      </w:r>
      <w:r>
        <w:t>与仪器</w:t>
      </w:r>
      <w:r>
        <w:rPr>
          <w:rFonts w:hint="eastAsia"/>
        </w:rPr>
        <w:t>专业</w:t>
      </w:r>
      <w:r>
        <w:t>实践教学体系</w:t>
      </w:r>
      <w:r>
        <w:rPr>
          <w:rFonts w:hint="eastAsia"/>
        </w:rPr>
        <w:t>图示</w:t>
      </w:r>
    </w:p>
    <w:p>
      <w:pPr>
        <w:rPr>
          <w:rFonts w:hint="eastAsia"/>
        </w:rPr>
      </w:pP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  <w:bookmarkStart w:id="0" w:name="OLE_LINK1"/>
      <w:r>
        <w:rPr>
          <w:rFonts w:ascii="黑体" w:hAnsi="黑体" w:eastAsia="黑体" w:cs="Times New Roman"/>
          <w:sz w:val="32"/>
          <w:szCs w:val="32"/>
        </w:rPr>
        <w:t>2</w:t>
      </w:r>
      <w:r>
        <w:rPr>
          <w:rFonts w:hint="eastAsia" w:ascii="黑体" w:hAnsi="黑体" w:eastAsia="黑体" w:cs="Times New Roman"/>
          <w:sz w:val="32"/>
          <w:szCs w:val="32"/>
        </w:rPr>
        <w:t xml:space="preserve"> 支撑课程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从</w:t>
      </w:r>
      <w:r>
        <w:rPr>
          <w:rFonts w:ascii="宋体" w:hAnsi="宋体" w:eastAsia="宋体" w:cs="Times New Roman"/>
          <w:sz w:val="24"/>
        </w:rPr>
        <w:t>《</w:t>
      </w:r>
      <w:r>
        <w:rPr>
          <w:rFonts w:hint="eastAsia" w:ascii="宋体" w:hAnsi="宋体" w:eastAsia="宋体" w:cs="Times New Roman"/>
          <w:sz w:val="24"/>
        </w:rPr>
        <w:t>SIE-CH-03：中北大学测控技术与仪器专业培养方案（2016版）</w:t>
      </w:r>
      <w:r>
        <w:rPr>
          <w:rFonts w:ascii="宋体" w:hAnsi="宋体" w:eastAsia="宋体" w:cs="Times New Roman"/>
          <w:sz w:val="24"/>
        </w:rPr>
        <w:t>》</w:t>
      </w:r>
      <w:r>
        <w:rPr>
          <w:rFonts w:hint="eastAsia" w:ascii="宋体" w:hAnsi="宋体" w:eastAsia="宋体" w:cs="Times New Roman"/>
          <w:sz w:val="24"/>
        </w:rPr>
        <w:t>所列课程可知，该培养方案包含的实践类环节主要有以下类型：</w:t>
      </w:r>
    </w:p>
    <w:bookmarkEnd w:id="0"/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1）素质类训练；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2）课内实验（部分课时较大的课程实验单独设课）；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3）专业实践实训；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4）毕业设计；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5）创新创业类活动。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bookmarkStart w:id="1" w:name="OLE_LINK3"/>
      <w:r>
        <w:rPr>
          <w:rFonts w:hint="eastAsia" w:ascii="宋体" w:hAnsi="宋体" w:eastAsia="宋体" w:cs="Times New Roman"/>
          <w:sz w:val="24"/>
        </w:rPr>
        <w:t>素质类训练包含：公益劳动</w:t>
      </w:r>
      <w:r>
        <w:rPr>
          <w:rFonts w:ascii="宋体" w:hAnsi="宋体" w:eastAsia="宋体" w:cs="Times New Roman"/>
          <w:sz w:val="24"/>
        </w:rPr>
        <w:t>、</w:t>
      </w:r>
      <w:r>
        <w:rPr>
          <w:rFonts w:hint="eastAsia" w:ascii="宋体" w:hAnsi="宋体" w:eastAsia="宋体" w:cs="Times New Roman"/>
          <w:sz w:val="24"/>
        </w:rPr>
        <w:t>军训、社会实践、毛泽东思想和中国特色社会主义理论体系概论实践。</w:t>
      </w:r>
      <w:r>
        <w:rPr>
          <w:rFonts w:ascii="宋体" w:hAnsi="宋体" w:eastAsia="宋体" w:cs="Times New Roman"/>
          <w:sz w:val="24"/>
        </w:rPr>
        <w:t>对</w:t>
      </w:r>
      <w:r>
        <w:rPr>
          <w:rFonts w:hint="eastAsia" w:ascii="宋体" w:hAnsi="宋体" w:eastAsia="宋体" w:cs="Times New Roman"/>
          <w:sz w:val="24"/>
        </w:rPr>
        <w:t>专业</w:t>
      </w:r>
      <w:r>
        <w:rPr>
          <w:rFonts w:ascii="宋体" w:hAnsi="宋体" w:eastAsia="宋体" w:cs="Times New Roman"/>
          <w:sz w:val="24"/>
        </w:rPr>
        <w:t>的概念性认知实践在</w:t>
      </w:r>
      <w:r>
        <w:rPr>
          <w:rFonts w:hint="eastAsia" w:ascii="宋体" w:hAnsi="宋体" w:eastAsia="宋体" w:cs="Times New Roman"/>
          <w:sz w:val="24"/>
        </w:rPr>
        <w:t>学生</w:t>
      </w:r>
      <w:r>
        <w:rPr>
          <w:rFonts w:ascii="宋体" w:hAnsi="宋体" w:eastAsia="宋体" w:cs="Times New Roman"/>
          <w:sz w:val="24"/>
        </w:rPr>
        <w:t>入学</w:t>
      </w:r>
      <w:r>
        <w:rPr>
          <w:rFonts w:hint="eastAsia" w:ascii="宋体" w:hAnsi="宋体" w:eastAsia="宋体" w:cs="Times New Roman"/>
          <w:sz w:val="24"/>
        </w:rPr>
        <w:t>的</w:t>
      </w:r>
      <w:r>
        <w:rPr>
          <w:rFonts w:ascii="宋体" w:hAnsi="宋体" w:eastAsia="宋体" w:cs="Times New Roman"/>
          <w:sz w:val="24"/>
        </w:rPr>
        <w:t>专业</w:t>
      </w:r>
      <w:r>
        <w:rPr>
          <w:rFonts w:hint="eastAsia" w:ascii="宋体" w:hAnsi="宋体" w:eastAsia="宋体" w:cs="Times New Roman"/>
          <w:sz w:val="24"/>
        </w:rPr>
        <w:t>教育过程</w:t>
      </w:r>
      <w:r>
        <w:rPr>
          <w:rFonts w:ascii="宋体" w:hAnsi="宋体" w:eastAsia="宋体" w:cs="Times New Roman"/>
          <w:sz w:val="24"/>
        </w:rPr>
        <w:t>中</w:t>
      </w:r>
      <w:r>
        <w:rPr>
          <w:rFonts w:hint="eastAsia" w:ascii="宋体" w:hAnsi="宋体" w:eastAsia="宋体" w:cs="Times New Roman"/>
          <w:sz w:val="24"/>
        </w:rPr>
        <w:t>完成</w:t>
      </w:r>
      <w:r>
        <w:rPr>
          <w:rFonts w:ascii="宋体" w:hAnsi="宋体" w:eastAsia="宋体" w:cs="Times New Roman"/>
          <w:sz w:val="24"/>
        </w:rPr>
        <w:t>。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不含选修课，包含</w:t>
      </w:r>
      <w:r>
        <w:rPr>
          <w:rFonts w:ascii="宋体" w:hAnsi="宋体" w:eastAsia="宋体" w:cs="Times New Roman"/>
          <w:sz w:val="24"/>
        </w:rPr>
        <w:t>实验的</w:t>
      </w:r>
      <w:r>
        <w:rPr>
          <w:rFonts w:hint="eastAsia" w:ascii="宋体" w:hAnsi="宋体" w:eastAsia="宋体" w:cs="Times New Roman"/>
          <w:sz w:val="24"/>
        </w:rPr>
        <w:t>课程</w:t>
      </w:r>
      <w:r>
        <w:rPr>
          <w:rFonts w:ascii="宋体" w:hAnsi="宋体" w:eastAsia="宋体" w:cs="Times New Roman"/>
          <w:sz w:val="24"/>
        </w:rPr>
        <w:t>总共有</w:t>
      </w:r>
      <w:r>
        <w:rPr>
          <w:rFonts w:hint="eastAsia" w:ascii="宋体" w:hAnsi="宋体" w:eastAsia="宋体" w:cs="Times New Roman"/>
          <w:sz w:val="24"/>
        </w:rPr>
        <w:t>14门，都是公共课、学科基础课和专业基础课，其中有4门课的实验独立设课。这些课程包含：C语言程序设计基础实验、大学物理实验1、大学物理实验2、模拟电子技术实验、数字电子技术实验、精密仪器零件设计、信号与系统、数字信号处理、自动控制基础、传感器原理及设计、测控电路设计、微机原理及接口技术、单片机原理及应用、光测技术；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专业</w:t>
      </w:r>
      <w:r>
        <w:rPr>
          <w:rFonts w:ascii="宋体" w:hAnsi="宋体" w:eastAsia="宋体" w:cs="Times New Roman"/>
          <w:sz w:val="24"/>
        </w:rPr>
        <w:t>实践训练环节包含：</w:t>
      </w:r>
      <w:r>
        <w:rPr>
          <w:rFonts w:hint="eastAsia" w:ascii="宋体" w:hAnsi="宋体" w:eastAsia="宋体" w:cs="Times New Roman"/>
          <w:sz w:val="24"/>
        </w:rPr>
        <w:t>金工实习、电子工艺实习、毕业实习、测控系统设计综合实践；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毕业设计环节包含：毕业设计专题、文献检索专题和毕业设计；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创新创业类活动根据《仪器与电子学院创新学分实施方案》包含6个</w:t>
      </w:r>
      <w:r>
        <w:rPr>
          <w:rFonts w:ascii="宋体" w:hAnsi="宋体" w:eastAsia="宋体" w:cs="Times New Roman"/>
          <w:sz w:val="24"/>
        </w:rPr>
        <w:t>学分，分为三部分，由导师</w:t>
      </w:r>
      <w:r>
        <w:rPr>
          <w:rFonts w:hint="eastAsia" w:ascii="宋体" w:hAnsi="宋体" w:eastAsia="宋体" w:cs="Times New Roman"/>
          <w:sz w:val="24"/>
        </w:rPr>
        <w:t>安排</w:t>
      </w:r>
      <w:r>
        <w:rPr>
          <w:rFonts w:ascii="宋体" w:hAnsi="宋体" w:eastAsia="宋体" w:cs="Times New Roman"/>
          <w:sz w:val="24"/>
        </w:rPr>
        <w:t>的</w:t>
      </w:r>
      <w:r>
        <w:rPr>
          <w:rFonts w:hint="eastAsia" w:ascii="宋体" w:hAnsi="宋体" w:eastAsia="宋体" w:cs="Times New Roman"/>
          <w:sz w:val="24"/>
        </w:rPr>
        <w:t>“五个一</w:t>
      </w:r>
      <w:r>
        <w:rPr>
          <w:rFonts w:ascii="宋体" w:hAnsi="宋体" w:eastAsia="宋体" w:cs="Times New Roman"/>
          <w:sz w:val="24"/>
        </w:rPr>
        <w:t>”</w:t>
      </w:r>
      <w:r>
        <w:rPr>
          <w:rFonts w:hint="eastAsia" w:ascii="宋体" w:hAnsi="宋体" w:eastAsia="宋体" w:cs="Times New Roman"/>
          <w:sz w:val="24"/>
        </w:rPr>
        <w:t>完成</w:t>
      </w:r>
      <w:r>
        <w:rPr>
          <w:rFonts w:ascii="宋体" w:hAnsi="宋体" w:eastAsia="宋体" w:cs="Times New Roman"/>
          <w:sz w:val="24"/>
        </w:rPr>
        <w:t>情况</w:t>
      </w:r>
      <w:r>
        <w:rPr>
          <w:rFonts w:hint="eastAsia" w:ascii="宋体" w:hAnsi="宋体" w:eastAsia="宋体" w:cs="Times New Roman"/>
          <w:sz w:val="24"/>
        </w:rPr>
        <w:t>2学分</w:t>
      </w:r>
      <w:r>
        <w:rPr>
          <w:rFonts w:ascii="宋体" w:hAnsi="宋体" w:eastAsia="宋体" w:cs="Times New Roman"/>
          <w:sz w:val="24"/>
        </w:rPr>
        <w:t>，</w:t>
      </w:r>
      <w:r>
        <w:rPr>
          <w:rFonts w:hint="eastAsia" w:ascii="宋体" w:hAnsi="宋体" w:eastAsia="宋体" w:cs="Times New Roman"/>
          <w:sz w:val="24"/>
        </w:rPr>
        <w:t>学生</w:t>
      </w:r>
      <w:r>
        <w:rPr>
          <w:rFonts w:ascii="宋体" w:hAnsi="宋体" w:eastAsia="宋体" w:cs="Times New Roman"/>
          <w:sz w:val="24"/>
        </w:rPr>
        <w:t>课外创新成果</w:t>
      </w:r>
      <w:r>
        <w:rPr>
          <w:rFonts w:hint="eastAsia" w:ascii="宋体" w:hAnsi="宋体" w:eastAsia="宋体" w:cs="Times New Roman"/>
          <w:sz w:val="24"/>
        </w:rPr>
        <w:t>折算2学分</w:t>
      </w:r>
      <w:r>
        <w:rPr>
          <w:rFonts w:ascii="宋体" w:hAnsi="宋体" w:eastAsia="宋体" w:cs="Times New Roman"/>
          <w:sz w:val="24"/>
        </w:rPr>
        <w:t>，</w:t>
      </w:r>
      <w:r>
        <w:rPr>
          <w:rFonts w:hint="eastAsia" w:ascii="宋体" w:hAnsi="宋体" w:eastAsia="宋体" w:cs="Times New Roman"/>
          <w:sz w:val="24"/>
        </w:rPr>
        <w:t>学生</w:t>
      </w:r>
      <w:r>
        <w:rPr>
          <w:rFonts w:ascii="宋体" w:hAnsi="宋体" w:eastAsia="宋体" w:cs="Times New Roman"/>
          <w:sz w:val="24"/>
        </w:rPr>
        <w:t>参与其它各类活动</w:t>
      </w:r>
      <w:r>
        <w:rPr>
          <w:rFonts w:hint="eastAsia" w:ascii="宋体" w:hAnsi="宋体" w:eastAsia="宋体" w:cs="Times New Roman"/>
          <w:sz w:val="24"/>
        </w:rPr>
        <w:t>2学分</w:t>
      </w:r>
      <w:r>
        <w:rPr>
          <w:rFonts w:ascii="宋体" w:hAnsi="宋体" w:eastAsia="宋体" w:cs="Times New Roman"/>
          <w:sz w:val="24"/>
        </w:rPr>
        <w:t>。</w:t>
      </w:r>
    </w:p>
    <w:bookmarkEnd w:id="1"/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以上</w:t>
      </w:r>
      <w:r>
        <w:rPr>
          <w:rFonts w:ascii="宋体" w:hAnsi="宋体" w:eastAsia="宋体" w:cs="Times New Roman"/>
          <w:sz w:val="24"/>
        </w:rPr>
        <w:t>五</w:t>
      </w:r>
      <w:r>
        <w:rPr>
          <w:rFonts w:hint="eastAsia" w:ascii="宋体" w:hAnsi="宋体" w:eastAsia="宋体" w:cs="Times New Roman"/>
          <w:sz w:val="24"/>
        </w:rPr>
        <w:t>类</w:t>
      </w:r>
      <w:r>
        <w:rPr>
          <w:rFonts w:ascii="宋体" w:hAnsi="宋体" w:eastAsia="宋体" w:cs="Times New Roman"/>
          <w:sz w:val="24"/>
        </w:rPr>
        <w:t>课程或</w:t>
      </w:r>
      <w:r>
        <w:rPr>
          <w:rFonts w:hint="eastAsia" w:ascii="宋体" w:hAnsi="宋体" w:eastAsia="宋体" w:cs="Times New Roman"/>
          <w:sz w:val="24"/>
        </w:rPr>
        <w:t>环节</w:t>
      </w:r>
      <w:r>
        <w:rPr>
          <w:rFonts w:ascii="宋体" w:hAnsi="宋体" w:eastAsia="宋体" w:cs="Times New Roman"/>
          <w:sz w:val="24"/>
        </w:rPr>
        <w:t>共同构成了本专业实践</w:t>
      </w:r>
      <w:r>
        <w:rPr>
          <w:rFonts w:hint="eastAsia" w:ascii="宋体" w:hAnsi="宋体" w:eastAsia="宋体" w:cs="Times New Roman"/>
          <w:sz w:val="24"/>
        </w:rPr>
        <w:t>教学</w:t>
      </w:r>
      <w:r>
        <w:rPr>
          <w:rFonts w:ascii="宋体" w:hAnsi="宋体" w:eastAsia="宋体" w:cs="Times New Roman"/>
          <w:sz w:val="24"/>
        </w:rPr>
        <w:t>体系。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  <w:bookmarkStart w:id="2" w:name="OLE_LINK2"/>
      <w:r>
        <w:rPr>
          <w:rFonts w:ascii="黑体" w:hAnsi="黑体" w:eastAsia="黑体" w:cs="Times New Roman"/>
          <w:sz w:val="32"/>
          <w:szCs w:val="32"/>
        </w:rPr>
        <w:t>3</w:t>
      </w:r>
      <w:r>
        <w:rPr>
          <w:rFonts w:hint="eastAsia" w:ascii="黑体" w:hAnsi="黑体" w:eastAsia="黑体" w:cs="Times New Roman"/>
          <w:sz w:val="32"/>
          <w:szCs w:val="32"/>
        </w:rPr>
        <w:t xml:space="preserve"> 本体系</w:t>
      </w:r>
      <w:r>
        <w:rPr>
          <w:rFonts w:ascii="黑体" w:hAnsi="黑体" w:eastAsia="黑体" w:cs="Times New Roman"/>
          <w:sz w:val="32"/>
          <w:szCs w:val="32"/>
        </w:rPr>
        <w:t>对毕业要求的支撑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表1是除普通实验课程外，实践环节对毕业要求的支撑情况。图中将支撑强度H、M、L以3、2、1的量化权重表述，然后累加各毕业要求得到的权重值，用柱状图表示在图2。</w:t>
      </w:r>
    </w:p>
    <w:bookmarkEnd w:id="2"/>
    <w:p/>
    <w:p>
      <w:pPr>
        <w:jc w:val="center"/>
      </w:pPr>
      <w:r>
        <w:rPr>
          <w:rFonts w:hint="eastAsia"/>
        </w:rPr>
        <w:t>表1 各实践环节对毕业要求的支撑情况</w:t>
      </w:r>
    </w:p>
    <w:p>
      <w:pPr>
        <w:rPr>
          <w:rFonts w:hint="eastAsia"/>
        </w:rPr>
      </w:pPr>
    </w:p>
    <w:tbl>
      <w:tblPr>
        <w:tblStyle w:val="3"/>
        <w:tblW w:w="927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4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  <w:jc w:val="center"/>
        </w:trPr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此表为准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1、工程知识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2、问题分析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3、设计开发解决方案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4、研究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5、使用现代工具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6、工程与社会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7、环境与可持续发展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8、职业规范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9、个人与团队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10、沟通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11、项目管理</w:t>
            </w: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12、终身学习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小计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DDEBF7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毛泽东思想和中国特色社会主义理论体系概论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军训（含军事理论）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公益劳动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社会实践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C语言程序设计基础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测控系统设计综合实践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大学物理实验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模拟电子技术实验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数字电子技术实验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文献检索专题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毕业设计专题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电子工艺实习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金工实习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毕业实习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2CC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毕业设计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</w:tbl>
    <w:p/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从以上表和图可以看出，实践环节覆盖了对12个毕业要求的支撑，尤其值得关注的是，对“使用现代工具”、“沟通”、“设计开发解决方案”、“职业规范”、“个人与团队”、“研究”、“问题分析”的支撑最为明显，而这恰好与实践教学的目标和特点完全吻合。</w:t>
      </w:r>
    </w:p>
    <w:p/>
    <w:p/>
    <w:p/>
    <w:p>
      <w:pPr>
        <w:jc w:val="center"/>
      </w:pPr>
      <w:r>
        <w:drawing>
          <wp:inline distT="0" distB="0" distL="0" distR="0">
            <wp:extent cx="4572635" cy="2769235"/>
            <wp:effectExtent l="0" t="0" r="18415" b="1206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/>
    <w:p>
      <w:pPr>
        <w:jc w:val="center"/>
        <w:rPr>
          <w:rFonts w:hint="eastAsia"/>
        </w:rPr>
      </w:pPr>
      <w:r>
        <w:rPr>
          <w:rFonts w:hint="eastAsia"/>
        </w:rPr>
        <w:t>图2 实践环节对</w:t>
      </w:r>
      <w:r>
        <w:t>12</w:t>
      </w:r>
      <w:r>
        <w:rPr>
          <w:rFonts w:hint="eastAsia"/>
        </w:rPr>
        <w:t>个毕业要求支撑强度累计</w:t>
      </w: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4</w:t>
      </w:r>
      <w:r>
        <w:rPr>
          <w:rFonts w:hint="eastAsia" w:ascii="黑体" w:hAnsi="黑体" w:eastAsia="黑体" w:cs="Times New Roman"/>
          <w:sz w:val="32"/>
          <w:szCs w:val="32"/>
        </w:rPr>
        <w:t xml:space="preserve"> 实践创新体系对本实践教学体系的支撑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仪器与电子学院的创新实践平台主要在专业背景下来建设。图3是结合学院三个专业背景设计的六个创新方向，并给出了依托创新成果反馈专业实践教学体系建设的关系。</w:t>
      </w:r>
    </w:p>
    <w:p>
      <w:pPr>
        <w:autoSpaceDE w:val="0"/>
        <w:spacing w:before="156" w:beforeLines="50" w:line="360" w:lineRule="auto"/>
        <w:rPr>
          <w:rFonts w:ascii="宋体" w:hAnsi="宋体" w:eastAsia="宋体" w:cs="宋体"/>
          <w:kern w:val="0"/>
          <w:sz w:val="24"/>
        </w:rPr>
      </w:pPr>
      <w:r>
        <w:drawing>
          <wp:inline distT="0" distB="0" distL="0" distR="0">
            <wp:extent cx="5250815" cy="2962275"/>
            <wp:effectExtent l="0" t="0" r="6985" b="0"/>
            <wp:docPr id="2" name="图片 2" descr="C:\Users\lenovo\AppData\Local\Temp\ksohtml\wpsD5B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AppData\Local\Temp\ksohtml\wpsD5BB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2913" cy="2969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图3</w:t>
      </w:r>
      <w:r>
        <w:t xml:space="preserve"> </w:t>
      </w:r>
      <w:r>
        <w:rPr>
          <w:rFonts w:hint="eastAsia"/>
        </w:rPr>
        <w:t>创新方向与专业实践教学体系的关系</w:t>
      </w:r>
    </w:p>
    <w:p>
      <w:pPr>
        <w:rPr>
          <w:rFonts w:ascii="宋体" w:hAnsi="宋体" w:eastAsia="宋体" w:cs="宋体"/>
          <w:kern w:val="0"/>
          <w:sz w:val="24"/>
        </w:rPr>
      </w:pPr>
      <w:r>
        <w:drawing>
          <wp:inline distT="0" distB="0" distL="0" distR="0">
            <wp:extent cx="5245735" cy="2038350"/>
            <wp:effectExtent l="0" t="0" r="0" b="0"/>
            <wp:docPr id="3" name="图片 3" descr="C:\Users\lenovo\AppData\Local\Temp\ksohtml\wpsD16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lenovo\AppData\Local\Temp\ksohtml\wpsD162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171" cy="204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before="156" w:beforeLines="50" w:line="360" w:lineRule="auto"/>
        <w:rPr>
          <w:rFonts w:ascii="宋体" w:hAnsi="宋体" w:eastAsia="宋体" w:cs="Times New Roman"/>
          <w:sz w:val="24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图4</w:t>
      </w:r>
      <w:r>
        <w:t xml:space="preserve"> </w:t>
      </w:r>
      <w:r>
        <w:rPr>
          <w:rFonts w:hint="eastAsia"/>
        </w:rPr>
        <w:t>创新实践平台建设特色</w:t>
      </w:r>
    </w:p>
    <w:p>
      <w:pPr>
        <w:autoSpaceDE w:val="0"/>
        <w:spacing w:before="156" w:beforeLines="5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相关管理制度和文件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毕业设计教学环节的组织管理，应当遵守《SIE-PT-03：中北大学仪器与电子学院毕业设计工作手册》和《SIE-PT-02：XX学年仪器与电子学院毕业设计组织方案》</w:t>
      </w:r>
      <w:r>
        <w:rPr>
          <w:rFonts w:hint="eastAsia" w:ascii="宋体" w:hAnsi="宋体" w:eastAsia="宋体" w:cs="Times New Roman"/>
          <w:sz w:val="24"/>
        </w:rPr>
        <w:t>。</w:t>
      </w:r>
      <w:r>
        <w:rPr>
          <w:rFonts w:hint="eastAsia" w:ascii="宋体" w:hAnsi="宋体" w:eastAsia="宋体" w:cs="Times New Roman"/>
          <w:sz w:val="24"/>
          <w:lang w:val="en-US" w:eastAsia="zh-CN"/>
        </w:rPr>
        <w:t>SIE-PT-03文件需要每年根据毕业专业和教师情况制定。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</w:rPr>
        <w:t>创新创业类活动</w:t>
      </w:r>
      <w:r>
        <w:rPr>
          <w:rFonts w:hint="eastAsia" w:ascii="宋体" w:hAnsi="宋体" w:eastAsia="宋体" w:cs="Times New Roman"/>
          <w:sz w:val="24"/>
          <w:lang w:val="en-US" w:eastAsia="zh-CN"/>
        </w:rPr>
        <w:t>需要遵守《SIE-PT-04：创新创业实践学分实施方案》。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学生从事各类实习实训，可以在校内实训平台完成，也可以联系校外实习实训平台完成。校外实习实训基地必须遵守《SIE-PT-06：校外实习实训基地管理办法（试行）》并签署《SIE-PT-06-01：校企合作生产实习基地协议书》。</w:t>
      </w: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在实践教学过程中，鼓励聘请校外企业专家参与教学与指导，聘用校外教师需要遵守《SIE-PT-05：本科教学外聘教师管理办法》的规定。</w:t>
      </w:r>
    </w:p>
    <w:p>
      <w:pPr>
        <w:autoSpaceDE w:val="0"/>
        <w:spacing w:before="156" w:beforeLines="50" w:line="360" w:lineRule="auto"/>
        <w:rPr>
          <w:rFonts w:hint="eastAsia" w:ascii="宋体" w:hAnsi="宋体" w:eastAsia="宋体" w:cs="Times New Roman"/>
          <w:sz w:val="24"/>
        </w:rPr>
      </w:pPr>
    </w:p>
    <w:p>
      <w:pPr>
        <w:autoSpaceDE w:val="0"/>
        <w:spacing w:before="156" w:beforeLines="50"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全文完。</w:t>
      </w:r>
    </w:p>
    <w:p>
      <w:pPr>
        <w:autoSpaceDE w:val="0"/>
        <w:spacing w:before="156" w:beforeLines="50" w:line="360" w:lineRule="auto"/>
        <w:ind w:firstLine="480" w:firstLineChars="200"/>
        <w:rPr>
          <w:rFonts w:ascii="宋体" w:hAnsi="宋体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89"/>
    <w:rsid w:val="00040EED"/>
    <w:rsid w:val="0026165A"/>
    <w:rsid w:val="0031664C"/>
    <w:rsid w:val="0033651B"/>
    <w:rsid w:val="006303EC"/>
    <w:rsid w:val="007675C7"/>
    <w:rsid w:val="007D20D7"/>
    <w:rsid w:val="007F6FC9"/>
    <w:rsid w:val="008836FC"/>
    <w:rsid w:val="008A6498"/>
    <w:rsid w:val="008D5D68"/>
    <w:rsid w:val="00A5155D"/>
    <w:rsid w:val="00A840C7"/>
    <w:rsid w:val="00D33189"/>
    <w:rsid w:val="00D600E0"/>
    <w:rsid w:val="00F67D4C"/>
    <w:rsid w:val="00FD2B84"/>
    <w:rsid w:val="00FF278D"/>
    <w:rsid w:val="0E286852"/>
    <w:rsid w:val="15AE0AFE"/>
    <w:rsid w:val="346504E1"/>
    <w:rsid w:val="357431E7"/>
    <w:rsid w:val="45B06243"/>
    <w:rsid w:val="4D6237BA"/>
    <w:rsid w:val="541148E0"/>
    <w:rsid w:val="57A226EC"/>
    <w:rsid w:val="636B57C3"/>
    <w:rsid w:val="6AED01CF"/>
    <w:rsid w:val="715D2E9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chart" Target="charts/chart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LocalData\&#25945;&#23398;&#31649;&#29702;&#24037;&#20316;\0&#24037;&#31243;&#25945;&#32946;&#35748;&#35777;\&#26631;&#21270;&#25991;&#20214;\02-&#23454;&#36341;&#25945;&#23398;&#20307;&#31995;&#21450;&#35268;&#33539;&#65288;SIE-PT&#65289;\&#33609;&#3129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[草稿.xlsx]Sheet1!$A$22:$A$33</c:f>
              <c:strCache>
                <c:ptCount val="12"/>
                <c:pt idx="0">
                  <c:v>1、工程知识</c:v>
                </c:pt>
                <c:pt idx="1">
                  <c:v>2、问题分析</c:v>
                </c:pt>
                <c:pt idx="2">
                  <c:v>3、设计开发解决方案</c:v>
                </c:pt>
                <c:pt idx="3">
                  <c:v>4、研究</c:v>
                </c:pt>
                <c:pt idx="4">
                  <c:v>5、使用现代工具</c:v>
                </c:pt>
                <c:pt idx="5">
                  <c:v>6、工程与社会</c:v>
                </c:pt>
                <c:pt idx="6">
                  <c:v>7、环境与可持续发展</c:v>
                </c:pt>
                <c:pt idx="7">
                  <c:v>8、职业规范</c:v>
                </c:pt>
                <c:pt idx="8">
                  <c:v>9、个人与团队</c:v>
                </c:pt>
                <c:pt idx="9">
                  <c:v>10、沟通</c:v>
                </c:pt>
                <c:pt idx="10">
                  <c:v>11、项目管理</c:v>
                </c:pt>
                <c:pt idx="11">
                  <c:v>12、终身学习</c:v>
                </c:pt>
              </c:strCache>
            </c:strRef>
          </c:cat>
          <c:val>
            <c:numRef>
              <c:f>[草稿.xlsx]Sheet1!$B$22:$B$33</c:f>
              <c:numCache>
                <c:formatCode>General</c:formatCode>
                <c:ptCount val="12"/>
                <c:pt idx="0">
                  <c:v>8</c:v>
                </c:pt>
                <c:pt idx="1">
                  <c:v>11</c:v>
                </c:pt>
                <c:pt idx="2">
                  <c:v>15</c:v>
                </c:pt>
                <c:pt idx="3">
                  <c:v>11</c:v>
                </c:pt>
                <c:pt idx="4">
                  <c:v>26</c:v>
                </c:pt>
                <c:pt idx="5">
                  <c:v>5</c:v>
                </c:pt>
                <c:pt idx="6">
                  <c:v>8</c:v>
                </c:pt>
                <c:pt idx="7">
                  <c:v>14</c:v>
                </c:pt>
                <c:pt idx="8">
                  <c:v>11</c:v>
                </c:pt>
                <c:pt idx="9">
                  <c:v>18</c:v>
                </c:pt>
                <c:pt idx="10">
                  <c:v>5</c:v>
                </c:pt>
                <c:pt idx="11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633648336"/>
        <c:axId val="633648992"/>
      </c:barChart>
      <c:catAx>
        <c:axId val="6336483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33648992"/>
        <c:crosses val="autoZero"/>
        <c:auto val="1"/>
        <c:lblAlgn val="ctr"/>
        <c:lblOffset val="100"/>
        <c:noMultiLvlLbl val="0"/>
      </c:catAx>
      <c:valAx>
        <c:axId val="633648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33648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</Words>
  <Characters>1446</Characters>
  <Lines>12</Lines>
  <Paragraphs>3</Paragraphs>
  <ScaleCrop>false</ScaleCrop>
  <LinksUpToDate>false</LinksUpToDate>
  <CharactersWithSpaces>1696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2017-02-10T10:58:49Z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