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SIE-CH-11：中北大学本科专业培养方案</w:t>
      </w:r>
      <w:r>
        <w:rPr>
          <w:rFonts w:hint="eastAsia"/>
          <w:sz w:val="28"/>
          <w:szCs w:val="28"/>
          <w:lang w:val="en-US" w:eastAsia="zh-CN"/>
        </w:rPr>
        <w:t>专家</w:t>
      </w:r>
      <w:r>
        <w:rPr>
          <w:rFonts w:hint="eastAsia"/>
          <w:sz w:val="28"/>
          <w:szCs w:val="28"/>
        </w:rPr>
        <w:t>评审意见表</w:t>
      </w:r>
    </w:p>
    <w:p>
      <w:pPr>
        <w:spacing w:line="360" w:lineRule="auto"/>
      </w:pPr>
      <w:r>
        <w:rPr>
          <w:rFonts w:hint="eastAsia"/>
        </w:rPr>
        <w:t>专业名称：</w:t>
      </w:r>
      <w:r>
        <w:rPr>
          <w:rFonts w:hint="eastAsia"/>
          <w:b/>
          <w:bCs/>
          <w:color w:val="FF0000"/>
          <w:lang w:val="en-US" w:eastAsia="zh-CN"/>
        </w:rPr>
        <w:t>测控技术与仪器</w:t>
      </w:r>
      <w:r>
        <w:rPr>
          <w:rFonts w:hint="eastAsia"/>
        </w:rPr>
        <w:t xml:space="preserve">        </w:t>
      </w:r>
      <w:r>
        <w:t xml:space="preserve">                          </w:t>
      </w:r>
      <w:r>
        <w:rPr>
          <w:rFonts w:hint="eastAsia"/>
        </w:rPr>
        <w:t>评议版本：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color w:val="FF0000"/>
        </w:rPr>
        <w:t>20</w:t>
      </w:r>
      <w:r>
        <w:rPr>
          <w:rFonts w:hint="eastAsia"/>
          <w:color w:val="FF0000"/>
          <w:lang w:val="en-US" w:eastAsia="zh-CN"/>
        </w:rPr>
        <w:t xml:space="preserve">XX  </w:t>
      </w:r>
      <w:r>
        <w:rPr>
          <w:rFonts w:hint="eastAsia"/>
        </w:rPr>
        <w:t>版</w:t>
      </w:r>
    </w:p>
    <w:tbl>
      <w:tblPr>
        <w:tblStyle w:val="5"/>
        <w:tblW w:w="8296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697"/>
        <w:gridCol w:w="1795"/>
        <w:gridCol w:w="1239"/>
        <w:gridCol w:w="139"/>
        <w:gridCol w:w="966"/>
        <w:gridCol w:w="101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14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评审项目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内容</w:t>
            </w:r>
          </w:p>
        </w:tc>
        <w:tc>
          <w:tcPr>
            <w:tcW w:w="96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5分制</w:t>
            </w:r>
          </w:p>
          <w:p>
            <w:pPr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评分</w:t>
            </w:r>
          </w:p>
        </w:tc>
        <w:tc>
          <w:tcPr>
            <w:tcW w:w="101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规范和标准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jc w:val="left"/>
            </w:pPr>
            <w:r>
              <w:rPr>
                <w:rFonts w:hint="eastAsia"/>
                <w:lang w:val="en-US" w:eastAsia="zh-CN"/>
              </w:rPr>
              <w:t>1、</w:t>
            </w:r>
            <w:r>
              <w:rPr>
                <w:rFonts w:hint="eastAsia"/>
              </w:rPr>
              <w:t>是否符合工程认证要求</w:t>
            </w:r>
          </w:p>
        </w:tc>
        <w:tc>
          <w:tcPr>
            <w:tcW w:w="96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333333"/>
                <w:kern w:val="0"/>
                <w:szCs w:val="21"/>
              </w:rPr>
            </w:pPr>
            <w:bookmarkStart w:id="0" w:name="_GoBack"/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培养目标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333333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毕业要求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  <w:lang w:val="en-US" w:eastAsia="zh-CN"/>
              </w:rPr>
              <w:t>2、</w:t>
            </w: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</w:rPr>
              <w:t>培养目标是否</w:t>
            </w: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  <w:lang w:val="en-US" w:eastAsia="zh-CN"/>
              </w:rPr>
              <w:t>与学生毕业后5年达成情况相符</w:t>
            </w:r>
          </w:p>
        </w:tc>
        <w:tc>
          <w:tcPr>
            <w:tcW w:w="966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333333"/>
                <w:kern w:val="0"/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rFonts w:hint="eastAsia" w:ascii="宋体" w:hAnsi="宋体" w:eastAsia="宋体" w:cs="宋体"/>
                <w:color w:val="333333"/>
                <w:spacing w:val="-8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  <w:lang w:val="en-US" w:eastAsia="zh-CN"/>
              </w:rPr>
              <w:t>3、毕业要求是否能够支撑培养目标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4、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人才培养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方案设定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的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毕业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要求是否具体、合理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  <w:lang w:val="en-US" w:eastAsia="zh-CN"/>
              </w:rPr>
              <w:t>5、</w:t>
            </w: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</w:rPr>
              <w:t>是否符合时代、学科或专业发展的要求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6、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是否与中北大学学校定位相吻合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课程体系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  <w:lang w:val="en-US" w:eastAsia="zh-CN"/>
              </w:rPr>
              <w:t>7、</w:t>
            </w: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</w:rPr>
              <w:t>课程设置是否与培养目标吻合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  <w:lang w:val="en-US" w:eastAsia="zh-CN"/>
              </w:rPr>
              <w:t>8、</w:t>
            </w:r>
            <w:r>
              <w:rPr>
                <w:rFonts w:hint="eastAsia" w:ascii="宋体" w:hAnsi="宋体" w:cs="宋体"/>
                <w:color w:val="333333"/>
                <w:spacing w:val="-8"/>
                <w:kern w:val="0"/>
                <w:szCs w:val="21"/>
              </w:rPr>
              <w:t>各课程安排先后顺序是否科学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9、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课程体系是否体现以人为本、实事求是的原则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spacing w:val="-9"/>
                <w:kern w:val="0"/>
                <w:szCs w:val="21"/>
                <w:lang w:val="en-US" w:eastAsia="zh-CN"/>
              </w:rPr>
              <w:t>10、</w:t>
            </w:r>
            <w:r>
              <w:rPr>
                <w:rFonts w:hint="eastAsia" w:ascii="宋体" w:hAnsi="宋体" w:cs="宋体"/>
                <w:color w:val="333333"/>
                <w:spacing w:val="-9"/>
                <w:kern w:val="0"/>
                <w:szCs w:val="21"/>
              </w:rPr>
              <w:t>实践环节设置比例是否合理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学分与学时</w:t>
            </w: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11、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总学分数是否合理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12、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总学时数是否合理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4870" w:type="dxa"/>
            <w:gridSpan w:val="4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Cs w:val="21"/>
                <w:lang w:val="en-US" w:eastAsia="zh-CN"/>
              </w:rPr>
              <w:t>13、</w:t>
            </w:r>
            <w:r>
              <w:rPr>
                <w:rFonts w:hint="eastAsia" w:ascii="宋体" w:hAnsi="宋体" w:cs="宋体"/>
                <w:color w:val="333333"/>
                <w:kern w:val="0"/>
                <w:szCs w:val="21"/>
              </w:rPr>
              <w:t>各门课程的学时数是否合理</w:t>
            </w:r>
          </w:p>
        </w:tc>
        <w:tc>
          <w:tcPr>
            <w:tcW w:w="966" w:type="dxa"/>
            <w:vAlign w:val="center"/>
          </w:tcPr>
          <w:p>
            <w:pPr>
              <w:jc w:val="center"/>
            </w:pPr>
          </w:p>
        </w:tc>
        <w:tc>
          <w:tcPr>
            <w:tcW w:w="101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0" w:hRule="atLeast"/>
          <w:jc w:val="center"/>
        </w:trPr>
        <w:tc>
          <w:tcPr>
            <w:tcW w:w="1445" w:type="dxa"/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综合评价与具体修改建议</w:t>
            </w:r>
          </w:p>
        </w:tc>
        <w:tc>
          <w:tcPr>
            <w:tcW w:w="6851" w:type="dxa"/>
            <w:gridSpan w:val="6"/>
            <w:vAlign w:val="center"/>
          </w:tcPr>
          <w:p>
            <w:pPr>
              <w:jc w:val="left"/>
              <w:rPr>
                <w:color w:val="FF0000"/>
              </w:rPr>
            </w:pPr>
            <w:r>
              <w:rPr>
                <w:color w:val="FF0000"/>
              </w:rPr>
              <w:t>1、</w:t>
            </w:r>
            <w:r>
              <w:rPr>
                <w:rFonts w:hint="eastAsia"/>
                <w:color w:val="FF0000"/>
              </w:rPr>
              <w:t>培养目标明确，培养要求清晰，培养要求中创新平台落地方式有待进一步明确；</w:t>
            </w:r>
          </w:p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2、毕业生获得知识与能力阐述中，个人觉得应更多关注基础知识、专业课程、动手实践课程的结合，不必过度强调复杂工程的解决能力；</w:t>
            </w:r>
          </w:p>
          <w:p>
            <w:pPr>
              <w:jc w:val="left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3、专业试验课程设计与基础课结合有序，可有效巩固基础知识的掌控和运用能力；</w:t>
            </w:r>
          </w:p>
          <w:p>
            <w:pPr>
              <w:jc w:val="left"/>
            </w:pPr>
            <w:r>
              <w:rPr>
                <w:rFonts w:hint="eastAsia"/>
                <w:color w:val="FF0000"/>
              </w:rPr>
              <w:t>4、专业试验课程可适当考虑增加针对仪器操作的相关课程，很多应届毕业生对测试测量仪器功能了解及操作使用了解不够。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  <w:jc w:val="center"/>
        </w:trPr>
        <w:tc>
          <w:tcPr>
            <w:tcW w:w="1445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专家信息</w:t>
            </w:r>
          </w:p>
        </w:tc>
        <w:tc>
          <w:tcPr>
            <w:tcW w:w="16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5154" w:type="dxa"/>
            <w:gridSpan w:val="5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16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 名</w:t>
            </w:r>
          </w:p>
        </w:tc>
        <w:tc>
          <w:tcPr>
            <w:tcW w:w="1795" w:type="dxa"/>
            <w:vAlign w:val="center"/>
          </w:tcPr>
          <w:p>
            <w:pPr>
              <w:jc w:val="left"/>
            </w:pPr>
          </w:p>
        </w:tc>
        <w:tc>
          <w:tcPr>
            <w:tcW w:w="12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职  称</w:t>
            </w:r>
          </w:p>
        </w:tc>
        <w:tc>
          <w:tcPr>
            <w:tcW w:w="2120" w:type="dxa"/>
            <w:gridSpan w:val="3"/>
            <w:vAlign w:val="center"/>
          </w:tcPr>
          <w:p>
            <w:pPr>
              <w:jc w:val="lef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45" w:type="dxa"/>
            <w:vMerge w:val="continue"/>
            <w:vAlign w:val="center"/>
          </w:tcPr>
          <w:p>
            <w:pPr>
              <w:jc w:val="left"/>
            </w:pPr>
          </w:p>
        </w:tc>
        <w:tc>
          <w:tcPr>
            <w:tcW w:w="16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5154" w:type="dxa"/>
            <w:gridSpan w:val="5"/>
            <w:vAlign w:val="center"/>
          </w:tcPr>
          <w:p>
            <w:pPr>
              <w:jc w:val="left"/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60B"/>
    <w:rsid w:val="00622250"/>
    <w:rsid w:val="00817353"/>
    <w:rsid w:val="00852501"/>
    <w:rsid w:val="00870938"/>
    <w:rsid w:val="00BB1328"/>
    <w:rsid w:val="00BE7DAF"/>
    <w:rsid w:val="00C7660B"/>
    <w:rsid w:val="484921D2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4"/>
    <w:link w:val="3"/>
    <w:uiPriority w:val="99"/>
    <w:rPr>
      <w:sz w:val="18"/>
      <w:szCs w:val="18"/>
    </w:rPr>
  </w:style>
  <w:style w:type="character" w:customStyle="1" w:styleId="7">
    <w:name w:val="页脚 字符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502</Characters>
  <Lines>4</Lines>
  <Paragraphs>1</Paragraphs>
  <TotalTime>0</TotalTime>
  <ScaleCrop>false</ScaleCrop>
  <LinksUpToDate>false</LinksUpToDate>
  <CharactersWithSpaces>589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2017-01-01T09:02:00Z</dcterms:created>
  <dc:creator>wenyi liu</dc:creator>
  <cp:lastModifiedBy>lenovo</cp:lastModifiedBy>
  <dcterms:modified xsi:type="dcterms:W3CDTF">2017-01-26T02:33:46Z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